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276" w:lineRule="auto"/>
        <w:tabs>
          <w:tab w:val="left" w:pos="3563" w:leader="none"/>
        </w:tabs>
        <w:rPr>
          <w:b/>
          <w:bCs/>
          <w:color w:val="auto"/>
          <w:sz w:val="36"/>
          <w:szCs w:val="36"/>
          <w:highlight w:val="none"/>
        </w:rPr>
        <w:suppressLineNumbers w:val="0"/>
      </w:pPr>
      <w:r>
        <w:rPr>
          <w:rFonts w:ascii="PT Sans" w:hAnsi="PT Sans" w:eastAsia="PT Sans" w:cs="PT San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1440000" cy="1332000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552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440000" cy="13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-3.75pt;mso-position-horizontal:absolute;mso-position-vertical-relative:text;margin-top:0.00pt;mso-position-vertical:absolute;width:113.39pt;height:104.88pt;mso-wrap-distance-left:9.07pt;mso-wrap-distance-top:0.00pt;mso-wrap-distance-right:9.07pt;mso-wrap-distance-bottom:0.00pt;rotation:0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PT Sans" w:hAnsi="PT Sans" w:eastAsia="PT Sans" w:cs="PT Sans"/>
          <w:b/>
          <w:bCs/>
          <w:color w:val="auto"/>
          <w:sz w:val="36"/>
          <w:szCs w:val="36"/>
        </w:rPr>
        <w:t xml:space="preserve">Молодёжная петербургская школа-конференция инженеров-педагогов</w:t>
      </w:r>
      <w:r>
        <w:rPr>
          <w:b/>
          <w:bCs/>
          <w:color w:val="auto"/>
          <w:sz w:val="16"/>
          <w:szCs w:val="16"/>
          <w:highlight w:val="none"/>
        </w:rPr>
      </w:r>
      <w:r>
        <w:rPr>
          <w:b/>
          <w:bCs/>
          <w:color w:val="auto"/>
          <w:sz w:val="36"/>
          <w:szCs w:val="36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276" w:lineRule="auto"/>
        <w:tabs>
          <w:tab w:val="left" w:pos="3563" w:leader="none"/>
        </w:tabs>
        <w:rPr>
          <w:rFonts w:ascii="PT Sans" w:hAnsi="PT Sans" w:cs="PT Sans"/>
          <w:b w:val="0"/>
          <w:bCs w:val="0"/>
          <w:color w:val="auto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 w:val="0"/>
          <w:bCs w:val="0"/>
          <w:color w:val="40b93c"/>
          <w:sz w:val="32"/>
          <w:szCs w:val="32"/>
          <w:highlight w:val="none"/>
          <w:lang w:val="en-US"/>
        </w:rPr>
        <w:t xml:space="preserve">EPConf’202</w:t>
      </w:r>
      <w:r>
        <w:rPr>
          <w:rFonts w:ascii="PT Sans" w:hAnsi="PT Sans" w:eastAsia="PT Sans" w:cs="PT Sans"/>
          <w:b w:val="0"/>
          <w:bCs w:val="0"/>
          <w:color w:val="40b93c"/>
          <w:sz w:val="32"/>
          <w:szCs w:val="32"/>
          <w:highlight w:val="none"/>
          <w:lang w:val="en-US"/>
        </w:rPr>
        <w:t xml:space="preserve">6</w:t>
      </w:r>
      <w:r>
        <w:rPr>
          <w:rFonts w:ascii="PT Sans" w:hAnsi="PT Sans" w:cs="PT Sans"/>
          <w:b w:val="0"/>
          <w:bCs w:val="0"/>
          <w:color w:val="auto"/>
          <w:sz w:val="32"/>
          <w:szCs w:val="32"/>
          <w:highlight w:val="none"/>
        </w:rPr>
      </w:r>
      <w:r>
        <w:rPr>
          <w:rFonts w:ascii="PT Sans" w:hAnsi="PT Sans" w:cs="PT Sans"/>
          <w:b w:val="0"/>
          <w:bCs w:val="0"/>
          <w:color w:val="auto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276" w:lineRule="auto"/>
        <w:tabs>
          <w:tab w:val="left" w:pos="3563" w:leader="none"/>
        </w:tabs>
        <w:rPr>
          <w:rFonts w:ascii="PT Sans" w:hAnsi="PT Sans" w:cs="PT Sans"/>
          <w:b w:val="0"/>
          <w:bCs w:val="0"/>
          <w:color w:val="40b93c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3-5 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ф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е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в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р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а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л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я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 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2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0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2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6</w:t>
      </w:r>
      <w:r>
        <w:rPr>
          <w:rFonts w:ascii="PT Sans" w:hAnsi="PT Sans" w:cs="PT Sans"/>
          <w:b w:val="0"/>
          <w:bCs w:val="0"/>
          <w:color w:val="40b93c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  <w:t xml:space="preserve">Санкт-Петербургский политехнический </w:t>
      </w: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</w: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  <w:t xml:space="preserve">университет Петра Великого</w:t>
      </w:r>
      <w:r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808080" w:themeColor="background1" w:themeShade="80"/>
          <w:sz w:val="36"/>
          <w:szCs w:val="36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</w:r>
      <w:r>
        <w:rPr>
          <w:rFonts w:ascii="PT Sans" w:hAnsi="PT Sans" w:eastAsia="PT Sans" w:cs="PT Sans"/>
          <w:b/>
          <w:bCs/>
          <w:color w:val="40b93c"/>
          <w:sz w:val="32"/>
          <w:szCs w:val="32"/>
        </w:rPr>
        <w:t xml:space="preserve">Институт физики и математики</w:t>
      </w:r>
      <w:r>
        <w:rPr>
          <w:rFonts w:ascii="PT Sans" w:hAnsi="PT Sans" w:eastAsia="PT Sans" w:cs="PT Sans"/>
          <w:b/>
          <w:bCs/>
          <w:color w:val="808080" w:themeColor="background1" w:themeShade="80"/>
          <w:sz w:val="36"/>
          <w:szCs w:val="36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36"/>
          <w:szCs w:val="36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  <w:t xml:space="preserve">веб-сайт: </w:t>
      </w:r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</w:r>
      <w:hyperlink r:id="rId10" w:tooltip="https://phmath.spbstu.ru/molod_zghnaya_peterburgskaya_shkola_konferenciya_inzghenerov_pedagogov/" w:history="1">
        <w:r>
          <w:rPr>
            <w:rStyle w:val="818"/>
            <w:rFonts w:ascii="PT Sans" w:hAnsi="PT Sans" w:eastAsia="PT Sans" w:cs="PT Sans"/>
            <w:b w:val="0"/>
            <w:bCs w:val="0"/>
            <w:sz w:val="28"/>
            <w:szCs w:val="28"/>
            <w:highlight w:val="none"/>
          </w:rPr>
          <w:t xml:space="preserve">phmath.spbstu.ru</w:t>
        </w:r>
      </w:hyperlink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</w:r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  <w:t xml:space="preserve">Первое информационное сообщение</w:t>
      </w: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85" w:lineRule="atLeast"/>
        <w:shd w:val="clear" w:color="ffffff" w:fill="ffffff"/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Институт физики и математики Санкт-Петербургского политехнического университета Петра Великого приглашает к участию во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I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I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Молодёжной петербургской школе-конференции инженеров-педагогов.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Цели конференции — вовлечение молодёжи в научное сообщество, развитие у студентов, аспирантов, молодых учёных (до 3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лет включительно) навыков публичного выступления, представления результатов своих исследований, популяризация инженерного и педагогического знания, создание среды д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ля плодотворного общения молодых специалистов из различных областей знания. Приветствуются доклады из самых разных регионов России.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Форма участия: устный (15 минут, включая ответы на вопросы) доклад. Один участник может выступить только с одним докладом. Также не допускается выступление нескольких участников с одним и тем же докладом, в том числе представление одного доклада двумя и бо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лее участниками по частям. Заседания конференции будут проведены в очном формате.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  <w:lang w:val="ru-RU"/>
        </w:rPr>
        <w:t xml:space="preserve">Всем очным участникам будут выданы сертификаты. 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По итогам секционных заседаний авторы лучших докладов будут премированы.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/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Участие бесплатное (оргвзнос не взимается).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Тематики конференции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0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изический эксперимент в приложении к инженерным задачам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0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математичес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кое моделирование в инженерных исследованиях,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0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искусс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твенные нейронные сети и их приложения,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0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анализ сигналов для решения инженерных и естественнонаучных задач,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0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методика препод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авания физико-математических дисциплин в школе и вузе,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0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олимпиадное движение по физике и математике в школе и вузе.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О распределении по секциям будет сообщено дополнительно по мере формирования программы, исходя из фактически поданных докладов.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Ключевые даты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10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 октября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 2025 г.</w:t>
        <w:tab/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первое информационное письмо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 ноября 2025 г.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 </w:t>
        <w:tab/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начало приёма тезисов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11 января 2026 г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.</w:t>
        <w:tab/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окончание приёма тезисов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8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 января 2026 г.</w:t>
        <w:tab/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предварительная программа конференции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25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 января 2026 г</w:t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.</w:t>
        <w:tab/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окончательная программа конференции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t xml:space="preserve">3 февраля 2026 г.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ab/>
        <w:t xml:space="preserve">начало конференции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Публикации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В сборнике материалов конференции будут опубликованы материалы только реально сделанных докладов, прошедшие проверку на плагиат в системе «Антиплагиат.вуз» и рецензирование членами программного комитета. Все материалы будут опубликована на условиях лице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нзии Creative Commons Attribution 4.0 International (CC-BY 4.0). Сборник трудов будет проиндексирован в Российском индексе научного цитирования (РИНЦ). В состав авторов должны входить все лица, внесшие существенный вклад в работу, включая научных руководителей участников (по умолчанию считается, что выступать будет первый автор).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Шаблоны тезисов в форматах 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d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o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c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x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 и 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t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e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x (можно выбирать любой удобный)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, а также анкета участника расположены на </w:t>
      </w:r>
      <w:hyperlink r:id="rId11" w:tooltip="https://phmath.spbstu.ru/molod_zghnaya_peterburgskaya_shkola_konferenciya_inzghenerov_pedagogov_1/" w:history="1">
        <w:r>
          <w:rPr>
            <w:rStyle w:val="818"/>
            <w:rFonts w:ascii="PT Sans" w:hAnsi="PT Sans" w:cs="PT Sans"/>
            <w:color w:val="000000" w:themeColor="text1"/>
            <w:sz w:val="28"/>
            <w:szCs w:val="28"/>
            <w:highlight w:val="none"/>
          </w:rPr>
          <w:t xml:space="preserve">страничке конференции</w:t>
        </w:r>
      </w:hyperlink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Принимаются только тезисы, оформленные строго по шаблону!</w:t>
      </w:r>
      <w:r/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На адрес электронной почты </w:t>
      </w:r>
      <w:hyperlink r:id="rId12" w:tooltip="mailto:sysoeva_mv@spbstu.ru" w:history="1">
        <w:r>
          <w:rPr>
            <w:rStyle w:val="818"/>
            <w:rFonts w:ascii="PT Sans" w:hAnsi="PT Sans" w:eastAsia="PT Sans" w:cs="PT Sans"/>
            <w:color w:val="000000" w:themeColor="text1"/>
            <w:sz w:val="28"/>
            <w:szCs w:val="28"/>
            <w:highlight w:val="none"/>
            <w:u w:val="none"/>
          </w:rPr>
          <w:t xml:space="preserve">sysoeva_mv@spbstu.ru</w:t>
        </w:r>
      </w:hyperlink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следует высылать тезисы доклада и анкету участника одним письмом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По всем вопросам обращайтесь по электронной почте </w:t>
      </w:r>
      <w:r/>
      <w:hyperlink r:id="rId13" w:tooltip="mailto:sysoeva_mv@spbstu.ru" w:history="1">
        <w:r>
          <w:rPr>
            <w:rStyle w:val="818"/>
            <w:rFonts w:ascii="PT Sans" w:hAnsi="PT Sans" w:eastAsia="PT Sans" w:cs="PT Sans"/>
            <w:color w:val="000000" w:themeColor="text1"/>
            <w:sz w:val="28"/>
            <w:szCs w:val="28"/>
            <w:highlight w:val="none"/>
            <w:u w:val="none"/>
          </w:rPr>
          <w:t xml:space="preserve">sysoeva_mv@spbstu.ru</w:t>
        </w:r>
      </w:hyperlink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, либо по телефону (а также в мессенджерах) +7(909)336-72-08 Сысоева Марина Вячеславовна.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spacing w:before="0" w:after="0"/>
        <w:rPr>
          <w:rFonts w:ascii="PT Sans" w:hAnsi="PT Sans" w:cs="PT Sans"/>
          <w:sz w:val="28"/>
          <w:szCs w:val="28"/>
          <w:highlight w:val="none"/>
        </w:rPr>
        <w:suppressLineNumbers w:val="0"/>
      </w:pPr>
      <w:r>
        <w:rPr>
          <w:rFonts w:ascii="PT Sans" w:hAnsi="PT Sans" w:eastAsia="PT Sans" w:cs="PT Sans"/>
          <w:sz w:val="28"/>
          <w:szCs w:val="28"/>
          <w:highlight w:val="none"/>
        </w:rPr>
      </w:r>
      <w:r>
        <w:rPr>
          <w:rFonts w:ascii="PT Sans" w:hAnsi="PT Sans" w:cs="PT Sans"/>
          <w:sz w:val="28"/>
          <w:szCs w:val="28"/>
          <w:highlight w:val="none"/>
        </w:rPr>
      </w:r>
      <w:r>
        <w:rPr>
          <w:rFonts w:ascii="PT Sans" w:hAnsi="PT Sans" w:cs="PT San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phmath.spbstu.ru/" TargetMode="External"/><Relationship Id="rId11" Type="http://schemas.openxmlformats.org/officeDocument/2006/relationships/hyperlink" Target="https://phmath.spbstu.ru/molod_zghnaya_peterburgskaya_shkola_konferenciya_inzghenerov_pedagogov_1/" TargetMode="External"/><Relationship Id="rId12" Type="http://schemas.openxmlformats.org/officeDocument/2006/relationships/hyperlink" Target="mailto:sysoeva_mv@spbstu.ru" TargetMode="External"/><Relationship Id="rId13" Type="http://schemas.openxmlformats.org/officeDocument/2006/relationships/hyperlink" Target="mailto:sysoeva_mv@spbst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</cp:lastModifiedBy>
  <cp:revision>12</cp:revision>
  <dcterms:modified xsi:type="dcterms:W3CDTF">2025-10-10T03:34:46Z</dcterms:modified>
</cp:coreProperties>
</file>